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2D081A" w:rsidRPr="001D56DD" w:rsidTr="005723D5">
        <w:trPr>
          <w:jc w:val="center"/>
        </w:trPr>
        <w:tc>
          <w:tcPr>
            <w:tcW w:w="9356" w:type="dxa"/>
            <w:shd w:val="clear" w:color="auto" w:fill="FBD4B4"/>
          </w:tcPr>
          <w:p w:rsidR="002D081A" w:rsidRPr="001D56DD" w:rsidRDefault="002D081A" w:rsidP="005723D5">
            <w:pPr>
              <w:pStyle w:val="ListParagraph"/>
              <w:spacing w:before="120" w:after="120"/>
              <w:jc w:val="center"/>
              <w:rPr>
                <w:rFonts w:ascii="Times New Roman" w:hAnsi="Times New Roman"/>
                <w:b/>
                <w:color w:val="000000"/>
                <w:sz w:val="27"/>
                <w:szCs w:val="27"/>
              </w:rPr>
            </w:pPr>
            <w:r w:rsidRPr="001D56DD">
              <w:rPr>
                <w:rFonts w:ascii="Times New Roman" w:hAnsi="Times New Roman"/>
                <w:b/>
                <w:color w:val="000000"/>
                <w:sz w:val="27"/>
                <w:szCs w:val="27"/>
              </w:rPr>
              <w:t xml:space="preserve">1C. GIỚI THIỆU CHỨC NĂNG, NHIỆM VỤ CỦA BỘ TƯ PHÁP </w:t>
            </w:r>
          </w:p>
          <w:p w:rsidR="002D081A" w:rsidRPr="001D56DD" w:rsidRDefault="002D081A" w:rsidP="005723D5">
            <w:pPr>
              <w:pStyle w:val="ListParagraph"/>
              <w:spacing w:before="120" w:after="120" w:line="240" w:lineRule="auto"/>
              <w:ind w:left="0"/>
              <w:jc w:val="center"/>
              <w:rPr>
                <w:rFonts w:ascii="Times New Roman" w:hAnsi="Times New Roman"/>
                <w:color w:val="FBD4B4"/>
                <w:sz w:val="27"/>
                <w:szCs w:val="27"/>
              </w:rPr>
            </w:pPr>
            <w:r w:rsidRPr="001D56DD">
              <w:rPr>
                <w:rFonts w:ascii="Times New Roman" w:hAnsi="Times New Roman"/>
                <w:b/>
                <w:color w:val="000000"/>
                <w:sz w:val="27"/>
                <w:szCs w:val="27"/>
              </w:rPr>
              <w:t>VƯƠNG QUỐC THÁI LAN</w:t>
            </w:r>
          </w:p>
        </w:tc>
      </w:tr>
    </w:tbl>
    <w:p w:rsidR="002D081A" w:rsidRPr="001D56DD" w:rsidRDefault="002D081A" w:rsidP="002D081A">
      <w:pPr>
        <w:pStyle w:val="ListParagraph"/>
        <w:spacing w:before="120" w:after="120" w:line="240" w:lineRule="auto"/>
        <w:ind w:left="1440"/>
        <w:jc w:val="both"/>
        <w:rPr>
          <w:rFonts w:ascii="Times New Roman" w:hAnsi="Times New Roman"/>
          <w:color w:val="000000"/>
          <w:sz w:val="27"/>
          <w:szCs w:val="27"/>
        </w:rPr>
      </w:pPr>
    </w:p>
    <w:p w:rsidR="002D081A" w:rsidRPr="001D56DD" w:rsidRDefault="002D081A" w:rsidP="002D081A">
      <w:pPr>
        <w:spacing w:before="120" w:after="120" w:line="360" w:lineRule="auto"/>
        <w:ind w:firstLine="567"/>
        <w:jc w:val="both"/>
        <w:rPr>
          <w:bCs/>
          <w:sz w:val="27"/>
          <w:szCs w:val="27"/>
        </w:rPr>
      </w:pPr>
      <w:r w:rsidRPr="001D56DD">
        <w:rPr>
          <w:b/>
          <w:bCs/>
          <w:sz w:val="27"/>
          <w:szCs w:val="27"/>
        </w:rPr>
        <w:t>Tầm nhìn</w:t>
      </w:r>
      <w:r w:rsidRPr="001D56DD">
        <w:rPr>
          <w:bCs/>
          <w:sz w:val="27"/>
          <w:szCs w:val="27"/>
        </w:rPr>
        <w:t>: Bảo vệ công lý theo tiêu chuẩn quốc tế</w:t>
      </w:r>
    </w:p>
    <w:p w:rsidR="002D081A" w:rsidRPr="001D56DD" w:rsidRDefault="002D081A" w:rsidP="002D081A">
      <w:pPr>
        <w:spacing w:before="120" w:after="120" w:line="360" w:lineRule="auto"/>
        <w:ind w:firstLine="567"/>
        <w:jc w:val="both"/>
        <w:rPr>
          <w:bCs/>
          <w:sz w:val="27"/>
          <w:szCs w:val="27"/>
        </w:rPr>
      </w:pPr>
      <w:r w:rsidRPr="001D56DD">
        <w:rPr>
          <w:b/>
          <w:bCs/>
          <w:sz w:val="27"/>
          <w:szCs w:val="27"/>
        </w:rPr>
        <w:t>Nhiệm vụ</w:t>
      </w:r>
      <w:r w:rsidRPr="001D56DD">
        <w:rPr>
          <w:bCs/>
          <w:sz w:val="27"/>
          <w:szCs w:val="27"/>
        </w:rPr>
        <w:t>:</w:t>
      </w:r>
    </w:p>
    <w:p w:rsidR="002D081A" w:rsidRPr="001D56DD" w:rsidRDefault="002D081A" w:rsidP="002D081A">
      <w:pPr>
        <w:pStyle w:val="ListParagraph"/>
        <w:numPr>
          <w:ilvl w:val="0"/>
          <w:numId w:val="1"/>
        </w:numPr>
        <w:tabs>
          <w:tab w:val="left" w:pos="993"/>
        </w:tabs>
        <w:spacing w:before="120" w:after="120" w:line="360" w:lineRule="auto"/>
        <w:ind w:left="0" w:firstLine="567"/>
        <w:jc w:val="both"/>
        <w:rPr>
          <w:rFonts w:ascii="Times New Roman" w:hAnsi="Times New Roman"/>
          <w:sz w:val="27"/>
          <w:szCs w:val="27"/>
          <w:lang w:val="vi-VN"/>
        </w:rPr>
      </w:pPr>
      <w:r w:rsidRPr="001D56DD">
        <w:rPr>
          <w:rFonts w:ascii="Times New Roman" w:hAnsi="Times New Roman"/>
          <w:sz w:val="27"/>
          <w:szCs w:val="27"/>
        </w:rPr>
        <w:t>Xây dựng</w:t>
      </w:r>
      <w:r w:rsidRPr="001D56DD">
        <w:rPr>
          <w:rFonts w:ascii="Times New Roman" w:hAnsi="Times New Roman"/>
          <w:sz w:val="27"/>
          <w:szCs w:val="27"/>
          <w:lang w:val="vi-VN"/>
        </w:rPr>
        <w:t xml:space="preserve"> hệ thống hành chính tư pháp công bằng và </w:t>
      </w:r>
      <w:r w:rsidRPr="001D56DD">
        <w:rPr>
          <w:rFonts w:ascii="Times New Roman" w:hAnsi="Times New Roman"/>
          <w:sz w:val="27"/>
          <w:szCs w:val="27"/>
        </w:rPr>
        <w:t>nhạy bén</w:t>
      </w:r>
      <w:r w:rsidRPr="001D56DD">
        <w:rPr>
          <w:rFonts w:ascii="Times New Roman" w:hAnsi="Times New Roman"/>
          <w:sz w:val="27"/>
          <w:szCs w:val="27"/>
          <w:lang w:val="vi-VN"/>
        </w:rPr>
        <w:t>;</w:t>
      </w:r>
    </w:p>
    <w:p w:rsidR="002D081A" w:rsidRPr="001D56DD" w:rsidRDefault="002D081A" w:rsidP="002D081A">
      <w:pPr>
        <w:pStyle w:val="ListParagraph"/>
        <w:numPr>
          <w:ilvl w:val="0"/>
          <w:numId w:val="1"/>
        </w:numPr>
        <w:tabs>
          <w:tab w:val="left" w:pos="993"/>
        </w:tabs>
        <w:spacing w:before="120" w:after="120" w:line="360" w:lineRule="auto"/>
        <w:ind w:left="0" w:firstLine="567"/>
        <w:jc w:val="both"/>
        <w:rPr>
          <w:rFonts w:ascii="Times New Roman" w:hAnsi="Times New Roman"/>
          <w:sz w:val="27"/>
          <w:szCs w:val="27"/>
          <w:lang w:val="vi-VN"/>
        </w:rPr>
      </w:pPr>
      <w:r w:rsidRPr="001D56DD">
        <w:rPr>
          <w:rFonts w:ascii="Times New Roman" w:hAnsi="Times New Roman"/>
          <w:sz w:val="27"/>
          <w:szCs w:val="27"/>
          <w:lang w:val="vi-VN"/>
        </w:rPr>
        <w:t>Nâng cao chất lượng hoạt động thi hành pháp luật phù hợp với những tiêu chuẩn và nghĩa vụ quốc tế;</w:t>
      </w:r>
    </w:p>
    <w:p w:rsidR="002D081A" w:rsidRPr="001D56DD" w:rsidRDefault="002D081A" w:rsidP="002D081A">
      <w:pPr>
        <w:pStyle w:val="ListParagraph"/>
        <w:numPr>
          <w:ilvl w:val="0"/>
          <w:numId w:val="1"/>
        </w:numPr>
        <w:tabs>
          <w:tab w:val="left" w:pos="993"/>
        </w:tabs>
        <w:spacing w:before="120" w:after="120" w:line="360" w:lineRule="auto"/>
        <w:ind w:left="0" w:firstLine="567"/>
        <w:jc w:val="both"/>
        <w:rPr>
          <w:rFonts w:ascii="Times New Roman" w:hAnsi="Times New Roman"/>
          <w:sz w:val="27"/>
          <w:szCs w:val="27"/>
          <w:lang w:val="vi-VN"/>
        </w:rPr>
      </w:pPr>
      <w:r w:rsidRPr="001D56DD">
        <w:rPr>
          <w:rFonts w:ascii="Times New Roman" w:hAnsi="Times New Roman"/>
          <w:sz w:val="27"/>
          <w:szCs w:val="27"/>
          <w:lang w:val="vi-VN"/>
        </w:rPr>
        <w:t>Triển khai các hoạt động nghiên cứu và xây dựng pháp luật;</w:t>
      </w:r>
    </w:p>
    <w:p w:rsidR="002D081A" w:rsidRPr="001D56DD" w:rsidRDefault="002D081A" w:rsidP="002D081A">
      <w:pPr>
        <w:pStyle w:val="ListParagraph"/>
        <w:numPr>
          <w:ilvl w:val="0"/>
          <w:numId w:val="1"/>
        </w:numPr>
        <w:tabs>
          <w:tab w:val="left" w:pos="993"/>
        </w:tabs>
        <w:spacing w:before="120" w:after="120" w:line="360" w:lineRule="auto"/>
        <w:ind w:left="0" w:firstLine="567"/>
        <w:jc w:val="both"/>
        <w:rPr>
          <w:rFonts w:ascii="Times New Roman" w:hAnsi="Times New Roman"/>
          <w:sz w:val="27"/>
          <w:szCs w:val="27"/>
          <w:lang w:val="vi-VN"/>
        </w:rPr>
      </w:pPr>
      <w:r w:rsidRPr="001D56DD">
        <w:rPr>
          <w:rFonts w:ascii="Times New Roman" w:hAnsi="Times New Roman"/>
          <w:sz w:val="27"/>
          <w:szCs w:val="27"/>
          <w:lang w:val="vi-VN"/>
        </w:rPr>
        <w:t>Tăng cường giải quyết tranh chấp ngoài tòa án;</w:t>
      </w:r>
    </w:p>
    <w:p w:rsidR="002D081A" w:rsidRPr="001D56DD" w:rsidRDefault="002D081A" w:rsidP="002D081A">
      <w:pPr>
        <w:pStyle w:val="ListParagraph"/>
        <w:numPr>
          <w:ilvl w:val="0"/>
          <w:numId w:val="1"/>
        </w:numPr>
        <w:tabs>
          <w:tab w:val="left" w:pos="993"/>
        </w:tabs>
        <w:spacing w:before="120" w:after="120" w:line="360" w:lineRule="auto"/>
        <w:ind w:left="0" w:firstLine="567"/>
        <w:jc w:val="both"/>
        <w:rPr>
          <w:rFonts w:ascii="Times New Roman" w:hAnsi="Times New Roman"/>
          <w:sz w:val="27"/>
          <w:szCs w:val="27"/>
          <w:lang w:val="vi-VN"/>
        </w:rPr>
      </w:pPr>
      <w:r w:rsidRPr="001D56DD">
        <w:rPr>
          <w:rFonts w:ascii="Times New Roman" w:hAnsi="Times New Roman"/>
          <w:sz w:val="27"/>
          <w:szCs w:val="27"/>
          <w:lang w:val="vi-VN"/>
        </w:rPr>
        <w:t>Phối hợp thực hiện công tác phòng chống ma túy;</w:t>
      </w:r>
    </w:p>
    <w:p w:rsidR="002D081A" w:rsidRPr="001D56DD" w:rsidRDefault="002D081A" w:rsidP="002D081A">
      <w:pPr>
        <w:pStyle w:val="ListParagraph"/>
        <w:numPr>
          <w:ilvl w:val="0"/>
          <w:numId w:val="1"/>
        </w:numPr>
        <w:tabs>
          <w:tab w:val="left" w:pos="993"/>
        </w:tabs>
        <w:spacing w:before="120" w:after="120" w:line="360" w:lineRule="auto"/>
        <w:ind w:left="0" w:firstLine="567"/>
        <w:jc w:val="both"/>
        <w:rPr>
          <w:rFonts w:ascii="Times New Roman" w:hAnsi="Times New Roman"/>
          <w:sz w:val="27"/>
          <w:szCs w:val="27"/>
          <w:lang w:val="vi-VN"/>
        </w:rPr>
      </w:pPr>
      <w:r w:rsidRPr="001D56DD">
        <w:rPr>
          <w:rFonts w:ascii="Times New Roman" w:hAnsi="Times New Roman"/>
          <w:sz w:val="27"/>
          <w:szCs w:val="27"/>
          <w:lang w:val="vi-VN"/>
        </w:rPr>
        <w:t>Phòng chống tham nhũng trong lĩnh vực công;</w:t>
      </w:r>
    </w:p>
    <w:p w:rsidR="002D081A" w:rsidRPr="001D56DD" w:rsidRDefault="002D081A" w:rsidP="002D081A">
      <w:pPr>
        <w:pStyle w:val="ListParagraph"/>
        <w:numPr>
          <w:ilvl w:val="0"/>
          <w:numId w:val="1"/>
        </w:numPr>
        <w:tabs>
          <w:tab w:val="left" w:pos="993"/>
        </w:tabs>
        <w:spacing w:before="120" w:after="120" w:line="360" w:lineRule="auto"/>
        <w:ind w:left="0" w:firstLine="567"/>
        <w:jc w:val="both"/>
        <w:rPr>
          <w:rFonts w:ascii="Times New Roman" w:hAnsi="Times New Roman"/>
          <w:sz w:val="27"/>
          <w:szCs w:val="27"/>
          <w:lang w:val="vi-VN"/>
        </w:rPr>
      </w:pPr>
      <w:r w:rsidRPr="001D56DD">
        <w:rPr>
          <w:rFonts w:ascii="Times New Roman" w:hAnsi="Times New Roman"/>
          <w:sz w:val="27"/>
          <w:szCs w:val="27"/>
          <w:lang w:val="vi-VN"/>
        </w:rPr>
        <w:t>Đảm bảo quản lý tư pháp công bằng cho các tỉnh biên giới phía Nam;</w:t>
      </w:r>
    </w:p>
    <w:p w:rsidR="002D081A" w:rsidRPr="001D56DD" w:rsidRDefault="002D081A" w:rsidP="002D081A">
      <w:pPr>
        <w:pStyle w:val="ListParagraph"/>
        <w:numPr>
          <w:ilvl w:val="0"/>
          <w:numId w:val="1"/>
        </w:numPr>
        <w:tabs>
          <w:tab w:val="left" w:pos="993"/>
        </w:tabs>
        <w:spacing w:before="120" w:after="120" w:line="360" w:lineRule="auto"/>
        <w:ind w:left="0" w:firstLine="567"/>
        <w:jc w:val="both"/>
        <w:rPr>
          <w:rFonts w:ascii="Times New Roman" w:hAnsi="Times New Roman"/>
          <w:sz w:val="27"/>
          <w:szCs w:val="27"/>
          <w:lang w:val="vi-VN"/>
        </w:rPr>
      </w:pPr>
      <w:r w:rsidRPr="001D56DD">
        <w:rPr>
          <w:rFonts w:ascii="Times New Roman" w:hAnsi="Times New Roman"/>
          <w:sz w:val="27"/>
          <w:szCs w:val="27"/>
          <w:lang w:val="vi-VN"/>
        </w:rPr>
        <w:t>Thúc đẩy hội nhập, hợp tác giữa ngành tư pháp và tất cả các ngành khác, bao gồm cả các đối tác quốc tế;</w:t>
      </w:r>
    </w:p>
    <w:p w:rsidR="002D081A" w:rsidRPr="001D56DD" w:rsidRDefault="002D081A" w:rsidP="002D081A">
      <w:pPr>
        <w:pStyle w:val="ListParagraph"/>
        <w:numPr>
          <w:ilvl w:val="0"/>
          <w:numId w:val="1"/>
        </w:numPr>
        <w:tabs>
          <w:tab w:val="left" w:pos="993"/>
        </w:tabs>
        <w:spacing w:before="120" w:after="120" w:line="360" w:lineRule="auto"/>
        <w:ind w:left="0" w:firstLine="567"/>
        <w:jc w:val="both"/>
        <w:rPr>
          <w:rFonts w:ascii="Times New Roman" w:hAnsi="Times New Roman"/>
          <w:sz w:val="27"/>
          <w:szCs w:val="27"/>
          <w:lang w:val="vi-VN"/>
        </w:rPr>
      </w:pPr>
      <w:r w:rsidRPr="001D56DD">
        <w:rPr>
          <w:rFonts w:ascii="Times New Roman" w:hAnsi="Times New Roman"/>
          <w:sz w:val="27"/>
          <w:szCs w:val="27"/>
          <w:lang w:val="vi-VN"/>
        </w:rPr>
        <w:t>Tăng cường hiệu quả quản lý hành chính và năng lực của các thiết chế.</w:t>
      </w:r>
    </w:p>
    <w:p w:rsidR="002D081A" w:rsidRPr="001D56DD" w:rsidRDefault="002D081A" w:rsidP="002D081A">
      <w:pPr>
        <w:spacing w:before="120" w:after="120" w:line="360" w:lineRule="auto"/>
        <w:ind w:firstLine="567"/>
        <w:jc w:val="both"/>
        <w:rPr>
          <w:sz w:val="27"/>
          <w:szCs w:val="27"/>
          <w:lang w:val="vi-VN"/>
        </w:rPr>
      </w:pPr>
      <w:r w:rsidRPr="001D56DD">
        <w:rPr>
          <w:b/>
          <w:sz w:val="27"/>
          <w:szCs w:val="27"/>
          <w:lang w:val="vi-VN"/>
        </w:rPr>
        <w:t>Vai trò và trách nhiệm</w:t>
      </w:r>
      <w:r w:rsidRPr="001D56DD">
        <w:rPr>
          <w:sz w:val="27"/>
          <w:szCs w:val="27"/>
          <w:lang w:val="vi-VN"/>
        </w:rPr>
        <w:t>:</w:t>
      </w:r>
    </w:p>
    <w:p w:rsidR="002D081A" w:rsidRPr="001D56DD" w:rsidRDefault="002D081A" w:rsidP="002D081A">
      <w:pPr>
        <w:spacing w:before="120" w:after="120" w:line="360" w:lineRule="auto"/>
        <w:ind w:firstLine="567"/>
        <w:jc w:val="both"/>
        <w:rPr>
          <w:sz w:val="27"/>
          <w:szCs w:val="27"/>
          <w:lang w:val="vi-VN"/>
        </w:rPr>
      </w:pPr>
      <w:r w:rsidRPr="001D56DD">
        <w:rPr>
          <w:sz w:val="27"/>
          <w:szCs w:val="27"/>
          <w:lang w:val="vi-VN"/>
        </w:rPr>
        <w:tab/>
        <w:t>Mục 32 Đạo luật sửa đổi về Bộ, Cơ quan trực thuộc Bộ và các đơn vị thuộc Bộ số BE 2545 quy định: Bộ Tư pháp có trách nhiệm quản lý hệ thống tư pháp, tăng cường công lý trong xã hội và các trách nhiệm khác theo quy định của pháp luật về trách nhiệm của Bộ Tư pháp và các vụ trong Bộ.</w:t>
      </w:r>
    </w:p>
    <w:p w:rsidR="002D081A" w:rsidRPr="001D56DD" w:rsidRDefault="002D081A" w:rsidP="002D081A">
      <w:pPr>
        <w:spacing w:before="120" w:after="120" w:line="360" w:lineRule="auto"/>
        <w:ind w:firstLine="567"/>
        <w:jc w:val="both"/>
        <w:rPr>
          <w:b/>
          <w:sz w:val="27"/>
          <w:szCs w:val="27"/>
          <w:lang w:val="vi-VN"/>
        </w:rPr>
      </w:pPr>
      <w:r w:rsidRPr="001D56DD">
        <w:rPr>
          <w:b/>
          <w:sz w:val="27"/>
          <w:szCs w:val="27"/>
          <w:lang w:val="vi-VN"/>
        </w:rPr>
        <w:t>Nhiệm vụ của Bộ Tư pháp</w:t>
      </w:r>
    </w:p>
    <w:p w:rsidR="002D081A" w:rsidRPr="001D56DD" w:rsidRDefault="002D081A" w:rsidP="002D081A">
      <w:pPr>
        <w:pStyle w:val="ListParagraph"/>
        <w:numPr>
          <w:ilvl w:val="0"/>
          <w:numId w:val="2"/>
        </w:numPr>
        <w:tabs>
          <w:tab w:val="left" w:pos="567"/>
        </w:tabs>
        <w:spacing w:before="120" w:after="120" w:line="360" w:lineRule="auto"/>
        <w:ind w:left="0" w:firstLine="0"/>
        <w:jc w:val="both"/>
        <w:rPr>
          <w:rFonts w:ascii="Times New Roman" w:hAnsi="Times New Roman"/>
          <w:b/>
          <w:i/>
          <w:sz w:val="27"/>
          <w:szCs w:val="27"/>
          <w:lang w:val="vi-VN"/>
        </w:rPr>
      </w:pPr>
      <w:r w:rsidRPr="001D56DD">
        <w:rPr>
          <w:rFonts w:ascii="Times New Roman" w:hAnsi="Times New Roman"/>
          <w:b/>
          <w:i/>
          <w:sz w:val="27"/>
          <w:szCs w:val="27"/>
          <w:lang w:val="vi-VN"/>
        </w:rPr>
        <w:t>Trách nhiệm của Văn phòng Bộ trưởng</w:t>
      </w:r>
    </w:p>
    <w:p w:rsidR="002D081A" w:rsidRPr="001D56DD" w:rsidRDefault="002D081A" w:rsidP="002D081A">
      <w:pPr>
        <w:tabs>
          <w:tab w:val="left" w:pos="993"/>
        </w:tabs>
        <w:spacing w:before="120" w:after="120" w:line="360" w:lineRule="auto"/>
        <w:ind w:firstLine="567"/>
        <w:jc w:val="both"/>
        <w:rPr>
          <w:sz w:val="27"/>
          <w:szCs w:val="27"/>
          <w:lang w:val="vi-VN"/>
        </w:rPr>
      </w:pPr>
      <w:r w:rsidRPr="001D56DD">
        <w:rPr>
          <w:sz w:val="27"/>
          <w:szCs w:val="27"/>
          <w:lang w:val="vi-VN"/>
        </w:rPr>
        <w:t>Văn phòng Bộ trưởng giúp Bộ trưởng trong các công việc quản lý và công tác chính trị thông qua việc phối hợp với các Bộ khác trong các vấn đề về chính sách; tổ chức nghiên cứu và phân tích; đưa ra các khuyến nghị và rà soát các đơn từ trình Bộ trưởng cho ý kiến chỉ đạo.</w:t>
      </w:r>
    </w:p>
    <w:p w:rsidR="002D081A" w:rsidRPr="001D56DD" w:rsidRDefault="002D081A" w:rsidP="002D081A">
      <w:pPr>
        <w:numPr>
          <w:ilvl w:val="0"/>
          <w:numId w:val="2"/>
        </w:numPr>
        <w:tabs>
          <w:tab w:val="left" w:pos="567"/>
        </w:tabs>
        <w:spacing w:before="120" w:after="120" w:line="360" w:lineRule="auto"/>
        <w:ind w:hanging="720"/>
        <w:jc w:val="both"/>
        <w:rPr>
          <w:b/>
          <w:i/>
          <w:sz w:val="27"/>
          <w:szCs w:val="27"/>
          <w:lang w:val="vi-VN"/>
        </w:rPr>
      </w:pPr>
      <w:r w:rsidRPr="001D56DD">
        <w:rPr>
          <w:b/>
          <w:i/>
          <w:sz w:val="27"/>
          <w:szCs w:val="27"/>
          <w:lang w:val="vi-VN"/>
        </w:rPr>
        <w:t>Nhóm chính sách chiến lược và điều phối</w:t>
      </w:r>
    </w:p>
    <w:p w:rsidR="002D081A" w:rsidRPr="001D56DD" w:rsidRDefault="002D081A" w:rsidP="002D081A">
      <w:pPr>
        <w:numPr>
          <w:ilvl w:val="0"/>
          <w:numId w:val="3"/>
        </w:numPr>
        <w:tabs>
          <w:tab w:val="clear" w:pos="720"/>
          <w:tab w:val="num" w:pos="540"/>
          <w:tab w:val="left" w:pos="993"/>
        </w:tabs>
        <w:spacing w:before="120" w:after="120" w:line="360" w:lineRule="auto"/>
        <w:ind w:left="0" w:firstLine="0"/>
        <w:jc w:val="both"/>
        <w:rPr>
          <w:sz w:val="27"/>
          <w:szCs w:val="27"/>
          <w:lang w:val="vi-VN"/>
        </w:rPr>
      </w:pPr>
      <w:r w:rsidRPr="001D56DD">
        <w:rPr>
          <w:i/>
          <w:sz w:val="27"/>
          <w:szCs w:val="27"/>
          <w:lang w:val="vi-VN"/>
        </w:rPr>
        <w:lastRenderedPageBreak/>
        <w:t>Văn phòng Thứ trưởng thường trực</w:t>
      </w:r>
      <w:r w:rsidRPr="001D56DD">
        <w:rPr>
          <w:sz w:val="27"/>
          <w:szCs w:val="27"/>
          <w:lang w:val="vi-VN"/>
        </w:rPr>
        <w:t xml:space="preserve"> có vai trò trung tâm trong việc điều phối chính sách phát triển công tác của Bộ thông qua việc triển khai công tác xây dựng chính sách và chiến lược của Bộ; hỗ trợ các Sở Tư pháp và mạng lưới dịch vụ pháp lý được thiết lập phục vụ công việc trợ giúp pháp lý, cung cấp thông tin cho cộng đồng và giải quyết khiếu nại; phát triển nhân lực, tăng cường quan hệ công chúng và các vấn đề đối ngoại, đồng thời xây dựng hệ thống công nghệ thông tin liên quan đến pháp luật.</w:t>
      </w:r>
    </w:p>
    <w:p w:rsidR="002D081A" w:rsidRPr="001D56DD" w:rsidRDefault="002D081A" w:rsidP="002D081A">
      <w:pPr>
        <w:numPr>
          <w:ilvl w:val="0"/>
          <w:numId w:val="3"/>
        </w:numPr>
        <w:tabs>
          <w:tab w:val="clear" w:pos="720"/>
          <w:tab w:val="num" w:pos="540"/>
          <w:tab w:val="left" w:pos="993"/>
        </w:tabs>
        <w:spacing w:before="120" w:after="120" w:line="360" w:lineRule="auto"/>
        <w:ind w:left="0" w:firstLine="0"/>
        <w:jc w:val="both"/>
        <w:rPr>
          <w:sz w:val="27"/>
          <w:szCs w:val="27"/>
          <w:lang w:val="vi-VN"/>
        </w:rPr>
      </w:pPr>
      <w:r w:rsidRPr="001D56DD">
        <w:rPr>
          <w:i/>
          <w:sz w:val="27"/>
          <w:szCs w:val="27"/>
          <w:lang w:val="vi-VN"/>
        </w:rPr>
        <w:t>Văn phòng các vấn đề pháp lý</w:t>
      </w:r>
      <w:r w:rsidRPr="001D56DD">
        <w:rPr>
          <w:sz w:val="27"/>
          <w:szCs w:val="27"/>
          <w:lang w:val="vi-VN"/>
        </w:rPr>
        <w:t xml:space="preserve"> là cơ quan trung ương chịu trách nhiệm thúc đẩy hội nhập và hợp tác với các tổ chức trong hệ thống tư pháp nhằm đạt được hiệu quả quản lý pháp luật thông qua việc phát triển chính sách và hệ thống tư pháp; tổ chức nghiên cứu và đánh giá việc thi hành pháp luật; thực hiện vai trò là thư ký cho Ủy ban Quốc gia về tăng cường quản lý pháp luật trong việc thiết lập hướng dẫn hoạt động cho các cơ quan về thủ tục pháp lý; tăng cường phối hợp về các vấn đề kỹ thuật và pháp lý giữa các cơ quan trong nước và ngoài nước; tổ chức các diễn đàn nhằm tuyên truyền cho người dân về xây dựng pháp luật và thủ tục pháp lý.</w:t>
      </w:r>
    </w:p>
    <w:p w:rsidR="002D081A" w:rsidRPr="001D56DD" w:rsidRDefault="002D081A" w:rsidP="002D081A">
      <w:pPr>
        <w:numPr>
          <w:ilvl w:val="0"/>
          <w:numId w:val="2"/>
        </w:numPr>
        <w:tabs>
          <w:tab w:val="left" w:pos="567"/>
        </w:tabs>
        <w:spacing w:before="120" w:after="120" w:line="360" w:lineRule="auto"/>
        <w:ind w:hanging="720"/>
        <w:jc w:val="both"/>
        <w:rPr>
          <w:b/>
          <w:i/>
          <w:sz w:val="27"/>
          <w:szCs w:val="27"/>
          <w:lang w:val="vi-VN"/>
        </w:rPr>
      </w:pPr>
      <w:r w:rsidRPr="001D56DD">
        <w:rPr>
          <w:b/>
          <w:i/>
          <w:sz w:val="27"/>
          <w:szCs w:val="27"/>
          <w:lang w:val="vi-VN"/>
        </w:rPr>
        <w:t>Nhóm phòng chống tội phạm và thực thi pháp luật</w:t>
      </w:r>
    </w:p>
    <w:p w:rsidR="002D081A" w:rsidRPr="001D56DD" w:rsidRDefault="002D081A" w:rsidP="002D081A">
      <w:pPr>
        <w:numPr>
          <w:ilvl w:val="1"/>
          <w:numId w:val="2"/>
        </w:numPr>
        <w:tabs>
          <w:tab w:val="num" w:pos="540"/>
        </w:tabs>
        <w:spacing w:before="120" w:after="120" w:line="360" w:lineRule="auto"/>
        <w:ind w:left="0" w:firstLine="0"/>
        <w:jc w:val="both"/>
        <w:rPr>
          <w:sz w:val="27"/>
          <w:szCs w:val="27"/>
          <w:lang w:val="vi-VN"/>
        </w:rPr>
      </w:pPr>
      <w:r w:rsidRPr="001D56DD">
        <w:rPr>
          <w:i/>
          <w:sz w:val="27"/>
          <w:szCs w:val="27"/>
          <w:lang w:val="vi-VN"/>
        </w:rPr>
        <w:t>Cục Điều tra đặc biệt</w:t>
      </w:r>
      <w:r w:rsidRPr="001D56DD">
        <w:rPr>
          <w:sz w:val="27"/>
          <w:szCs w:val="27"/>
          <w:lang w:val="vi-VN"/>
        </w:rPr>
        <w:t xml:space="preserve"> là cơ quan chuyên trách thi hành pháp luật trong việc điều tra các vụ án hình sự có tính chất đặc biệt do pháp luật quy định. Cục thực hiện việc phòng chống và kiểm soát các vụ việc có ảnh hưởng nghiêm trọng đến kinh tế quốc gia, xã hội, an ninh và quan hệ quốc tế thông qua giám sát, thu thập dữ liệu, điều tra, hỏi cung và tố tụng trong các vụ việc và tuyên truyền nhằm tạo sự tin tưởng của người dân vào hệ thống tư pháp.</w:t>
      </w:r>
    </w:p>
    <w:p w:rsidR="002D081A" w:rsidRPr="001D56DD" w:rsidRDefault="002D081A" w:rsidP="002D081A">
      <w:pPr>
        <w:numPr>
          <w:ilvl w:val="1"/>
          <w:numId w:val="2"/>
        </w:numPr>
        <w:tabs>
          <w:tab w:val="num" w:pos="540"/>
        </w:tabs>
        <w:spacing w:before="120" w:after="120" w:line="360" w:lineRule="auto"/>
        <w:ind w:left="0" w:firstLine="0"/>
        <w:jc w:val="both"/>
        <w:rPr>
          <w:sz w:val="27"/>
          <w:szCs w:val="27"/>
          <w:lang w:val="vi-VN"/>
        </w:rPr>
      </w:pPr>
      <w:r w:rsidRPr="001D56DD">
        <w:rPr>
          <w:i/>
          <w:sz w:val="27"/>
          <w:szCs w:val="27"/>
          <w:lang w:val="vi-VN"/>
        </w:rPr>
        <w:t>Viện Khoa học Giám định Trung ương</w:t>
      </w:r>
      <w:r w:rsidRPr="001D56DD">
        <w:rPr>
          <w:sz w:val="27"/>
          <w:szCs w:val="27"/>
          <w:lang w:val="vi-VN"/>
        </w:rPr>
        <w:t xml:space="preserve"> chịu trách nhiệm tổ chức và xây dựng cơ sở dữ liệu về giám định khoa học, hỗ trợ công tác phòng chống các tội phạm đặc biệt, quản lý bằng chứng hiện trường vụ án cũng như tổ chức điều tra hiện trường vụ án và giám định pháp y nếu như có yêu cầu của cán bộ điều tra, thiết lập hệ thống thống nhất ở cả cấp quốc gia và quốc tế; xây dựng trung tâm dữ liệu về điều tra chứng cứ đạt tiêu chuẩn quốc tế; đề xuất xây dựng các đạo luật và quy định liên quan đến các hoạt động giám định; đóng vai trò cơ quan trung ương về tiếp nhận khiếu nại và tố cáo của các nạn nhân thông qua phối hợp với Cục điều tra đặc biệt; </w:t>
      </w:r>
      <w:r w:rsidRPr="001D56DD">
        <w:rPr>
          <w:sz w:val="27"/>
          <w:szCs w:val="27"/>
          <w:lang w:val="vi-VN"/>
        </w:rPr>
        <w:lastRenderedPageBreak/>
        <w:t>nâng cao nhận thức của công chúng và phối hợp với tư cách là cơ quan giám định; thành lập trung tâm tìm kiếm người mất tích và Cơ quan quản lý DNA quốc gia để thống nhất và xây dựng cơ sở dữ liệu với các cơ quan phòng chống tội phạm.</w:t>
      </w:r>
    </w:p>
    <w:p w:rsidR="002D081A" w:rsidRPr="001D56DD" w:rsidRDefault="002D081A" w:rsidP="002D081A">
      <w:pPr>
        <w:pStyle w:val="ListParagraph"/>
        <w:numPr>
          <w:ilvl w:val="0"/>
          <w:numId w:val="2"/>
        </w:numPr>
        <w:tabs>
          <w:tab w:val="left" w:pos="567"/>
        </w:tabs>
        <w:spacing w:before="120" w:after="120" w:line="360" w:lineRule="auto"/>
        <w:ind w:left="0" w:firstLine="0"/>
        <w:jc w:val="both"/>
        <w:rPr>
          <w:rFonts w:ascii="Times New Roman" w:hAnsi="Times New Roman"/>
          <w:b/>
          <w:i/>
          <w:sz w:val="27"/>
          <w:szCs w:val="27"/>
          <w:lang w:val="vi-VN"/>
        </w:rPr>
      </w:pPr>
      <w:r w:rsidRPr="001D56DD">
        <w:rPr>
          <w:rFonts w:ascii="Times New Roman" w:hAnsi="Times New Roman"/>
          <w:b/>
          <w:i/>
          <w:sz w:val="27"/>
          <w:szCs w:val="27"/>
          <w:lang w:val="vi-VN"/>
        </w:rPr>
        <w:t>Nhóm dịch vụ pháp lý và dân sự</w:t>
      </w:r>
    </w:p>
    <w:p w:rsidR="002D081A" w:rsidRPr="001D56DD" w:rsidRDefault="002D081A" w:rsidP="002D081A">
      <w:pPr>
        <w:numPr>
          <w:ilvl w:val="1"/>
          <w:numId w:val="2"/>
        </w:numPr>
        <w:tabs>
          <w:tab w:val="num" w:pos="540"/>
        </w:tabs>
        <w:spacing w:before="120" w:after="120" w:line="360" w:lineRule="auto"/>
        <w:ind w:left="0" w:firstLine="0"/>
        <w:jc w:val="both"/>
        <w:rPr>
          <w:sz w:val="27"/>
          <w:szCs w:val="27"/>
          <w:lang w:val="vi-VN"/>
        </w:rPr>
      </w:pPr>
      <w:r w:rsidRPr="001D56DD">
        <w:rPr>
          <w:i/>
          <w:sz w:val="27"/>
          <w:szCs w:val="27"/>
          <w:lang w:val="vi-VN"/>
        </w:rPr>
        <w:t>Vụ Bảo vệ quyền và tự do</w:t>
      </w:r>
      <w:r w:rsidRPr="001D56DD">
        <w:rPr>
          <w:sz w:val="27"/>
          <w:szCs w:val="27"/>
          <w:lang w:val="vi-VN"/>
        </w:rPr>
        <w:t xml:space="preserve"> chịu trách nhiệm xây dựng các hệ thống quản lý để tăng cường và bảo vệ quyền con người và quyền tự do thông qua việc nâng cao nhận thức người dân về quyền và tự do của bản thân; thiết lập các hệ thống và các biện pháp để hỗ trợ các nạn nhân của tội phạm; hỗ trợ về tài chính cho người vô tội bị thương và nạn nhân của tội phạm trong các vụ án hình sự; thúc đẩy các cơ chế giải quyết tranh chấp trong xã hội; cung cấp dịch vụ bảo vệ nhân chứng trong các vụ án hình sự theo Đạo luật Bảo vệ nhân chứng; phối hợp với các khu vực công và tư trong và ngoài nước về bảo vệ quyền và tự do; kiểm tra và đánh giá những nỗ lực bảo vệ quyền và tự do.</w:t>
      </w:r>
    </w:p>
    <w:p w:rsidR="002D081A" w:rsidRPr="001D56DD" w:rsidRDefault="002D081A" w:rsidP="002D081A">
      <w:pPr>
        <w:numPr>
          <w:ilvl w:val="1"/>
          <w:numId w:val="2"/>
        </w:numPr>
        <w:tabs>
          <w:tab w:val="left" w:pos="540"/>
        </w:tabs>
        <w:spacing w:before="120" w:after="120" w:line="360" w:lineRule="auto"/>
        <w:ind w:left="0" w:firstLine="0"/>
        <w:jc w:val="both"/>
        <w:rPr>
          <w:sz w:val="27"/>
          <w:szCs w:val="27"/>
          <w:lang w:val="vi-VN"/>
        </w:rPr>
      </w:pPr>
      <w:r w:rsidRPr="001D56DD">
        <w:rPr>
          <w:i/>
          <w:sz w:val="27"/>
          <w:szCs w:val="27"/>
          <w:lang w:val="vi-VN"/>
        </w:rPr>
        <w:t xml:space="preserve">Vụ Thi hành </w:t>
      </w:r>
      <w:r w:rsidRPr="00235EF3">
        <w:rPr>
          <w:i/>
          <w:sz w:val="27"/>
          <w:szCs w:val="27"/>
          <w:lang w:val="vi-VN"/>
        </w:rPr>
        <w:t>pháp luật:</w:t>
      </w:r>
      <w:r w:rsidRPr="001D56DD">
        <w:rPr>
          <w:sz w:val="27"/>
          <w:szCs w:val="27"/>
          <w:lang w:val="vi-VN"/>
        </w:rPr>
        <w:t xml:space="preserve"> thi hành và cung cấp các dịch vụ liên quan đến thi hành án dân sự, thi hành án về phá sản, tái cơ cấu doanh nghiệp, thanh lý và thế chấp tài sản theo lệnh của tòa án. Vụ có trách nhiệm xây dựng hệ thống thi hành án dân sự và thi hành án về phá sản, tái cơ cấu doanh nghiệp, thanh lý và thế chấp tài sản để đáp ứng những quy chuẩn nhằm thúc đẩy nền kinh tế Thái Lan và cung cấp cho chủ nợ cũng như các bên liên quan một phương thức dàn xếp nợ công bằng. Nâng cao nhận thức của cộng đồng về thi hành án và giải quyết tranh chấp, tăng cường sự hợp tác và tham gia của khu vực công và tư nhân đồng thời là các chức năng chiến lược trọng yếu của Vụ.</w:t>
      </w:r>
    </w:p>
    <w:p w:rsidR="002D081A" w:rsidRPr="001D56DD" w:rsidRDefault="002D081A" w:rsidP="002D081A">
      <w:pPr>
        <w:numPr>
          <w:ilvl w:val="0"/>
          <w:numId w:val="2"/>
        </w:numPr>
        <w:tabs>
          <w:tab w:val="left" w:pos="567"/>
        </w:tabs>
        <w:spacing w:before="120" w:after="120" w:line="360" w:lineRule="auto"/>
        <w:ind w:left="0" w:firstLine="0"/>
        <w:jc w:val="both"/>
        <w:rPr>
          <w:b/>
          <w:i/>
          <w:sz w:val="27"/>
          <w:szCs w:val="27"/>
          <w:lang w:val="vi-VN"/>
        </w:rPr>
      </w:pPr>
      <w:r w:rsidRPr="001D56DD">
        <w:rPr>
          <w:b/>
          <w:i/>
          <w:sz w:val="27"/>
          <w:szCs w:val="27"/>
          <w:lang w:val="vi-VN"/>
        </w:rPr>
        <w:t>Nhóm Tư pháp hình sự:</w:t>
      </w:r>
    </w:p>
    <w:p w:rsidR="002D081A" w:rsidRPr="001D56DD" w:rsidRDefault="002D081A" w:rsidP="002D081A">
      <w:pPr>
        <w:numPr>
          <w:ilvl w:val="1"/>
          <w:numId w:val="2"/>
        </w:numPr>
        <w:tabs>
          <w:tab w:val="num" w:pos="540"/>
        </w:tabs>
        <w:spacing w:before="120" w:after="120" w:line="360" w:lineRule="auto"/>
        <w:ind w:left="0" w:firstLine="0"/>
        <w:jc w:val="both"/>
        <w:rPr>
          <w:sz w:val="27"/>
          <w:szCs w:val="27"/>
          <w:lang w:val="vi-VN"/>
        </w:rPr>
      </w:pPr>
      <w:r w:rsidRPr="001D56DD">
        <w:rPr>
          <w:i/>
          <w:sz w:val="27"/>
          <w:szCs w:val="27"/>
          <w:lang w:val="vi-VN"/>
        </w:rPr>
        <w:t>Vụ Phục hồi nhân phẩm</w:t>
      </w:r>
      <w:r w:rsidRPr="001D56DD">
        <w:rPr>
          <w:sz w:val="27"/>
          <w:szCs w:val="27"/>
          <w:lang w:val="vi-VN"/>
        </w:rPr>
        <w:t xml:space="preserve"> có trách nhiệm giám sát và giáo dục các bị cáo theo phán quyết của tòa án  thuộc phạm vi các quy định về tội phạm học, quy định về hình phạt và phù hợp với Các quy tắc tiêu chuẩn tối thiểu về đối đãi với tù nhân của Liên hợp quốc thông qua việc giáo dục, hướng nghiệp, điều trị tâm lý và giúp họ tái hòa nhập cộng đồng</w:t>
      </w:r>
    </w:p>
    <w:p w:rsidR="002D081A" w:rsidRPr="001D56DD" w:rsidRDefault="002D081A" w:rsidP="002D081A">
      <w:pPr>
        <w:numPr>
          <w:ilvl w:val="1"/>
          <w:numId w:val="2"/>
        </w:numPr>
        <w:tabs>
          <w:tab w:val="num" w:pos="540"/>
        </w:tabs>
        <w:spacing w:before="120" w:after="120" w:line="360" w:lineRule="auto"/>
        <w:ind w:left="0" w:firstLine="0"/>
        <w:jc w:val="both"/>
        <w:rPr>
          <w:sz w:val="27"/>
          <w:szCs w:val="27"/>
          <w:lang w:val="vi-VN"/>
        </w:rPr>
      </w:pPr>
      <w:r w:rsidRPr="001D56DD">
        <w:rPr>
          <w:i/>
          <w:sz w:val="27"/>
          <w:szCs w:val="27"/>
          <w:lang w:val="vi-VN"/>
        </w:rPr>
        <w:t>Vụ Quản chế</w:t>
      </w:r>
      <w:r w:rsidRPr="001D56DD">
        <w:rPr>
          <w:sz w:val="27"/>
          <w:szCs w:val="27"/>
          <w:lang w:val="vi-VN"/>
        </w:rPr>
        <w:t xml:space="preserve"> có trách nhiệm quản lý về tư pháp hình sự đối với các phạm nhân và con nghiện thông qua điều tra, giám sát, cai nghiện và hỗ trợ các bị cáo </w:t>
      </w:r>
      <w:r w:rsidRPr="001D56DD">
        <w:rPr>
          <w:sz w:val="27"/>
          <w:szCs w:val="27"/>
          <w:lang w:val="vi-VN"/>
        </w:rPr>
        <w:lastRenderedPageBreak/>
        <w:t xml:space="preserve">trong và sau khi các bản án có hiệu lực, cũng như việc giúp đỡ các con nghiện cai nghiện phù hợp với các luật liên quan đến vấn đề này. Vụ cũng nỗ lực thúc đẩy và hỗ trợ cai nghiện tại cộng đồng; xây dựng hệ thống và liệu pháp điều trị cai nghiện tại cộng đồng; tạo điều kiện và khuyến khích sự tham gia của cộng đồng và các tổ chức xã hội dân sự dưới dạng cộng đồng pháp luật hoặc các hình thức khác để ngăn ngừa tội phạm trong xã hội. </w:t>
      </w:r>
    </w:p>
    <w:p w:rsidR="002D081A" w:rsidRPr="001D56DD" w:rsidRDefault="002D081A" w:rsidP="002D081A">
      <w:pPr>
        <w:numPr>
          <w:ilvl w:val="1"/>
          <w:numId w:val="2"/>
        </w:numPr>
        <w:tabs>
          <w:tab w:val="num" w:pos="540"/>
        </w:tabs>
        <w:spacing w:before="120" w:after="120" w:line="360" w:lineRule="auto"/>
        <w:ind w:left="0" w:firstLine="0"/>
        <w:jc w:val="both"/>
        <w:rPr>
          <w:sz w:val="27"/>
          <w:szCs w:val="27"/>
          <w:lang w:val="vi-VN"/>
        </w:rPr>
      </w:pPr>
      <w:r w:rsidRPr="001D56DD">
        <w:rPr>
          <w:i/>
          <w:sz w:val="27"/>
          <w:szCs w:val="27"/>
          <w:lang w:val="vi-VN"/>
        </w:rPr>
        <w:t>Vụ Giám sát và bảo vệ vị thành niên</w:t>
      </w:r>
      <w:r w:rsidRPr="001D56DD">
        <w:rPr>
          <w:sz w:val="27"/>
          <w:szCs w:val="27"/>
          <w:lang w:val="vi-VN"/>
        </w:rPr>
        <w:t xml:space="preserve"> có trách nhiệm tăng cường và bảo vệ các quyền và tự do của tội phạm vị thành niên; tăng cường vai trò của gia đình và cộng đồng; thực hiện thủ tục tố tụng trong các vụ việc về hình sự và gia đình; thực hiện việc quản lý hành chính liên quan đến việc bảo vệ và tái hòa nhập cho trẻ vị thành niên; khuyến khích sự phối hợp từ phía cộng đồng, thiết lập mạng lưới cộng đồng với khu vực công và tư ở cả cấp quốc gia và quốc tế nhằm tăng cường sự tham gia và hỗ trợ trong hệ thống tư pháp vị thành niên; tiến hành nghiên cứu và xây dựng luật liên quan đến bảo vệ quyền và tự do của trẻ vị thành niên cũng như xây dựng hệ thống và quy trình trong các vụ việc liên quan đến vị thành niên và các liệu pháp điều trị; phát triển nguồn nhân lực và hệ thống quản lý phù hợp với tiêu chuẩn của quản lý công. </w:t>
      </w:r>
    </w:p>
    <w:p w:rsidR="002D081A" w:rsidRPr="001D56DD" w:rsidRDefault="002D081A" w:rsidP="002D081A">
      <w:pPr>
        <w:numPr>
          <w:ilvl w:val="0"/>
          <w:numId w:val="2"/>
        </w:numPr>
        <w:tabs>
          <w:tab w:val="left" w:pos="567"/>
        </w:tabs>
        <w:spacing w:before="120" w:after="120" w:line="360" w:lineRule="auto"/>
        <w:ind w:left="0" w:firstLine="0"/>
        <w:jc w:val="both"/>
        <w:rPr>
          <w:b/>
          <w:i/>
          <w:sz w:val="27"/>
          <w:szCs w:val="27"/>
          <w:lang w:val="vi-VN"/>
        </w:rPr>
      </w:pPr>
      <w:r w:rsidRPr="001D56DD">
        <w:rPr>
          <w:b/>
          <w:i/>
          <w:sz w:val="27"/>
          <w:szCs w:val="27"/>
          <w:lang w:val="vi-VN"/>
        </w:rPr>
        <w:t>Các cơ quan trực thuộc Bộ trưởng</w:t>
      </w:r>
    </w:p>
    <w:p w:rsidR="002D081A" w:rsidRPr="001D56DD" w:rsidRDefault="002D081A" w:rsidP="002D081A">
      <w:pPr>
        <w:numPr>
          <w:ilvl w:val="1"/>
          <w:numId w:val="2"/>
        </w:numPr>
        <w:tabs>
          <w:tab w:val="num" w:pos="540"/>
        </w:tabs>
        <w:spacing w:before="120" w:after="120" w:line="360" w:lineRule="auto"/>
        <w:ind w:left="0" w:firstLine="0"/>
        <w:jc w:val="both"/>
        <w:rPr>
          <w:sz w:val="27"/>
          <w:szCs w:val="27"/>
          <w:lang w:val="vi-VN"/>
        </w:rPr>
      </w:pPr>
      <w:r w:rsidRPr="001D56DD">
        <w:rPr>
          <w:i/>
          <w:sz w:val="27"/>
          <w:szCs w:val="27"/>
          <w:lang w:val="vi-VN"/>
        </w:rPr>
        <w:t>Văn phòng Ban quản lý chất gây nghiện</w:t>
      </w:r>
      <w:r w:rsidRPr="001D56DD">
        <w:rPr>
          <w:sz w:val="27"/>
          <w:szCs w:val="27"/>
          <w:lang w:val="vi-VN"/>
        </w:rPr>
        <w:t xml:space="preserve"> là cơ quan điều phối quốc gia nhằm phòng chống và ngăn ngừa, đồng thời giải quyết các vấn đề liên quan đến ma túy ở Thái Lan thông qua việc theo dõi và đánh giá tình trạng của nạn buôn bán ma túy, thiết lập các kế hoạch chiến lược, quản lý ngân sách và cung cấp thông tin trong việc phòng chống ma túy cũng như phối hợp với các cơ quan quốc tế trong các vấn đề liên quan đến chất gây nghiện.</w:t>
      </w:r>
    </w:p>
    <w:p w:rsidR="002D081A" w:rsidRPr="001D56DD" w:rsidRDefault="002D081A" w:rsidP="002D081A">
      <w:pPr>
        <w:spacing w:before="120" w:after="120" w:line="360" w:lineRule="auto"/>
        <w:jc w:val="both"/>
        <w:rPr>
          <w:sz w:val="27"/>
          <w:szCs w:val="27"/>
          <w:lang w:val="vi-VN"/>
        </w:rPr>
      </w:pPr>
      <w:r w:rsidRPr="001D56DD">
        <w:rPr>
          <w:sz w:val="27"/>
          <w:szCs w:val="27"/>
          <w:lang w:val="vi-VN"/>
        </w:rPr>
        <w:t xml:space="preserve">Vai trò chính của Văn phòng là: kiểm soát sự phát tán của ma túy; thiết lập và đánh giá việc thực hiện chiến lược quốc gia về kiểm soát chất gây nghiện để kịp thời ứng phó với thực trạng của ma túy trong thời điểm hiện tại; nỗ lực quản lý chất gây nghiện với cách tiếp cận thống nhất; kiểm tra, giám sát và đánh giá những nỗ lực của quốc gia về quản lý chất gây nghiện phù hợp với chiến lược quốc gia;  quản lý thi hành luật về chất gây nghiện tuân theo luật về quản lý chất gây nghiện; đưa ra </w:t>
      </w:r>
      <w:r w:rsidRPr="001D56DD">
        <w:rPr>
          <w:sz w:val="27"/>
          <w:szCs w:val="27"/>
          <w:lang w:val="vi-VN"/>
        </w:rPr>
        <w:lastRenderedPageBreak/>
        <w:t>những giải pháp cho vấn đề này; giữ vai trò đầu mối trong chiến dịch chống ma túy và quan hệ công chúng; phối hợp với các tổ chức và cộng đồng quốc tế; thực hiện phát triển nguồn nhân lực, công nghệ thông tin và hệ thống dữ liệu điện tử về quản lý chất gây nghiện; tăng cường sự tham gia của cộng đồng, tổ chức phi chính phủ và các cơ quan có thẩm quyền trong việc quản lý chất gây nghiện.</w:t>
      </w:r>
    </w:p>
    <w:p w:rsidR="002D081A" w:rsidRPr="001D56DD" w:rsidRDefault="002D081A" w:rsidP="002D081A">
      <w:pPr>
        <w:numPr>
          <w:ilvl w:val="1"/>
          <w:numId w:val="2"/>
        </w:numPr>
        <w:tabs>
          <w:tab w:val="num" w:pos="540"/>
        </w:tabs>
        <w:spacing w:before="120" w:after="120" w:line="360" w:lineRule="auto"/>
        <w:ind w:left="0" w:firstLine="0"/>
        <w:jc w:val="both"/>
        <w:rPr>
          <w:sz w:val="27"/>
          <w:szCs w:val="27"/>
          <w:lang w:val="vi-VN"/>
        </w:rPr>
      </w:pPr>
      <w:r w:rsidRPr="001D56DD">
        <w:rPr>
          <w:i/>
          <w:sz w:val="27"/>
          <w:szCs w:val="27"/>
          <w:lang w:val="vi-VN"/>
        </w:rPr>
        <w:t>Văn phòng Ủy ban chống tham nhũng khu vực công</w:t>
      </w:r>
      <w:r w:rsidRPr="001D56DD">
        <w:rPr>
          <w:sz w:val="27"/>
          <w:szCs w:val="27"/>
          <w:lang w:val="vi-VN"/>
        </w:rPr>
        <w:t xml:space="preserve"> được lập ra nhằm thực hiện những việc điều tra và thẩm tra nhằm phòng chống tham nhũng trong khu vực công. Văn phòng cũng có trách nhiệm tăng cường sự tham gia của tất cả các lĩnh vực trong xã hội trong việc phòng chống tham nhũng khu vực công; đưa ra các quy chuẩn đạo đức của các cán bộ nhà nước.</w:t>
      </w:r>
    </w:p>
    <w:p w:rsidR="002D081A" w:rsidRPr="001D56DD" w:rsidRDefault="002D081A" w:rsidP="002D081A">
      <w:pPr>
        <w:numPr>
          <w:ilvl w:val="0"/>
          <w:numId w:val="2"/>
        </w:numPr>
        <w:tabs>
          <w:tab w:val="left" w:pos="0"/>
        </w:tabs>
        <w:spacing w:before="120" w:after="120" w:line="360" w:lineRule="auto"/>
        <w:ind w:left="0" w:firstLine="0"/>
        <w:jc w:val="both"/>
        <w:rPr>
          <w:b/>
          <w:i/>
          <w:sz w:val="27"/>
          <w:szCs w:val="27"/>
          <w:lang w:val="vi-VN"/>
        </w:rPr>
      </w:pPr>
      <w:r w:rsidRPr="001D56DD">
        <w:rPr>
          <w:b/>
          <w:i/>
          <w:sz w:val="27"/>
          <w:szCs w:val="27"/>
          <w:lang w:val="vi-VN"/>
        </w:rPr>
        <w:t xml:space="preserve">Các cơ quan độc lập của Bộ Tư pháp dưới sự giám sát của Bộ trưởng </w:t>
      </w:r>
    </w:p>
    <w:p w:rsidR="002D081A" w:rsidRPr="001D56DD" w:rsidRDefault="002D081A" w:rsidP="002D081A">
      <w:pPr>
        <w:numPr>
          <w:ilvl w:val="1"/>
          <w:numId w:val="2"/>
        </w:numPr>
        <w:tabs>
          <w:tab w:val="num" w:pos="540"/>
        </w:tabs>
        <w:spacing w:before="120" w:after="120" w:line="360" w:lineRule="auto"/>
        <w:ind w:left="0" w:firstLine="0"/>
        <w:jc w:val="both"/>
        <w:rPr>
          <w:sz w:val="27"/>
          <w:szCs w:val="27"/>
          <w:lang w:val="vi-VN"/>
        </w:rPr>
      </w:pPr>
      <w:r w:rsidRPr="001D56DD">
        <w:rPr>
          <w:i/>
          <w:sz w:val="27"/>
          <w:szCs w:val="27"/>
          <w:lang w:val="vi-VN"/>
        </w:rPr>
        <w:t>Văn phòng cơ quan chống rửa tiền</w:t>
      </w:r>
      <w:r w:rsidRPr="001D56DD">
        <w:rPr>
          <w:sz w:val="27"/>
          <w:szCs w:val="27"/>
          <w:lang w:val="vi-VN"/>
        </w:rPr>
        <w:t xml:space="preserve"> có trách nhiệm điều tra các giao dịch tài chính và thực hiện các biện pháp hữu hiệu để chống rửa tiền bằng việc ngăn chặn các tội phạm hưởng lợi từ các hành vi phạm tội và tham nhũng; phòng chống các tội phạm rửa tiền trong khu vực công và khu vực tư nhận ở cấp quốc gia và quốc tế; đẩy mạnh hợp tác khu vực và quốc tế giữa các cơ quan thực thi pháp luật thông qua hợp tác pháp luật song phương ứng phó với nạn rửa tiền.</w:t>
      </w:r>
    </w:p>
    <w:p w:rsidR="002D081A" w:rsidRPr="001D56DD" w:rsidRDefault="002D081A" w:rsidP="002D081A">
      <w:pPr>
        <w:numPr>
          <w:ilvl w:val="1"/>
          <w:numId w:val="2"/>
        </w:numPr>
        <w:tabs>
          <w:tab w:val="left" w:pos="567"/>
        </w:tabs>
        <w:spacing w:before="120" w:after="120" w:line="360" w:lineRule="auto"/>
        <w:ind w:left="0" w:firstLine="0"/>
        <w:jc w:val="both"/>
        <w:rPr>
          <w:sz w:val="27"/>
          <w:szCs w:val="27"/>
          <w:lang w:val="vi-VN"/>
        </w:rPr>
      </w:pPr>
      <w:r w:rsidRPr="001D56DD">
        <w:rPr>
          <w:i/>
          <w:sz w:val="27"/>
          <w:szCs w:val="27"/>
          <w:lang w:val="vi-VN"/>
        </w:rPr>
        <w:t>Viện nghiên cứu tư pháp Thái Lan</w:t>
      </w:r>
      <w:r w:rsidRPr="001D56DD">
        <w:rPr>
          <w:sz w:val="27"/>
          <w:szCs w:val="27"/>
          <w:lang w:val="vi-VN"/>
        </w:rPr>
        <w:t xml:space="preserve"> được thành lập năm 2011 với tư cách là một tổ chức bán công nhằm tăng cường hệ thống tư pháp hình sự. Chức năng chính của Viện là thúc đẩy thực thi Bộ Quy tắc của Liên hợp quốc về đối xử với phạm nhân nữ và các biện pháp không giam giữ với can phạm nữ (Bộ Quy tắc Bangkok) để việc áp dụng chính xác Bộ Quy tắc này sẽ góp phần mang lại lợi ích tối đa cho hệ thống tư pháp Thái Lan cũng như cho các quốc gia khác. Ngoài ra, Viện đặt mục tiêu trở thành một trung tâm nghiên cứu quốc tế phối hợp chặt chẽ với Văn phòng Liên hợp quốc về chống ma túy và tội phạm và Mạng lưới các viện nghiên cứu của Liên hợp quốc nghiên cứu và tập huấn về tội phạm học, phục hồi, tư pháp hình sự, nhân quyền và nhà nước pháp quyền.</w:t>
      </w:r>
    </w:p>
    <w:p w:rsidR="00164A9F" w:rsidRDefault="00164A9F"/>
    <w:sectPr w:rsidR="00164A9F" w:rsidSect="008D680B">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53978"/>
    <w:multiLevelType w:val="hybridMultilevel"/>
    <w:tmpl w:val="CEA299A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B66D73"/>
    <w:multiLevelType w:val="hybridMultilevel"/>
    <w:tmpl w:val="A834576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C70F7"/>
    <w:multiLevelType w:val="hybridMultilevel"/>
    <w:tmpl w:val="45BE0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2D081A"/>
    <w:rsid w:val="00164A9F"/>
    <w:rsid w:val="002D081A"/>
    <w:rsid w:val="004D3E76"/>
    <w:rsid w:val="008D6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1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D081A"/>
    <w:pPr>
      <w:spacing w:after="200" w:line="276" w:lineRule="auto"/>
      <w:ind w:left="720"/>
      <w:contextualSpacing/>
    </w:pPr>
    <w:rPr>
      <w:rFonts w:ascii="Arial" w:eastAsia="Arial" w:hAnsi="Arial"/>
      <w:noProof/>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AF742-6363-4B3A-94B2-B8DE858D2D3E}"/>
</file>

<file path=customXml/itemProps2.xml><?xml version="1.0" encoding="utf-8"?>
<ds:datastoreItem xmlns:ds="http://schemas.openxmlformats.org/officeDocument/2006/customXml" ds:itemID="{9E73C34C-B3D8-4277-9FD6-B52F69DDA10B}"/>
</file>

<file path=customXml/itemProps3.xml><?xml version="1.0" encoding="utf-8"?>
<ds:datastoreItem xmlns:ds="http://schemas.openxmlformats.org/officeDocument/2006/customXml" ds:itemID="{F50BFE62-A979-4AE9-B83F-707D2FDD2ED0}"/>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8528</Characters>
  <Application>Microsoft Office Word</Application>
  <DocSecurity>0</DocSecurity>
  <Lines>71</Lines>
  <Paragraphs>20</Paragraphs>
  <ScaleCrop>false</ScaleCrop>
  <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2016-08-17T16:50:00Z</dcterms:created>
  <dcterms:modified xsi:type="dcterms:W3CDTF">2016-08-17T16:51:00Z</dcterms:modified>
</cp:coreProperties>
</file>